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660E0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bookmarkStart w:id="0" w:name="_GoBack"/>
      <w:bookmarkEnd w:id="0"/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62B660E1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62B660E2" w14:textId="77777777" w:rsidR="00011556" w:rsidRPr="00707F30" w:rsidRDefault="00011556" w:rsidP="003B6913">
      <w:pPr>
        <w:ind w:right="197"/>
        <w:jc w:val="both"/>
        <w:rPr>
          <w:rFonts w:eastAsia="Times New Roman" w:cs="Times New Roman"/>
          <w:b/>
          <w:sz w:val="20"/>
          <w:szCs w:val="20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>Te</w:t>
      </w:r>
      <w:r w:rsidR="00C52EE5">
        <w:rPr>
          <w:rFonts w:eastAsia="Times New Roman" w:cs="Times New Roman"/>
          <w:szCs w:val="24"/>
          <w:lang w:eastAsia="lt-LT"/>
        </w:rPr>
        <w:t>isės akto projekto pavadinimas:</w:t>
      </w:r>
      <w:r w:rsidR="003C6AA1">
        <w:rPr>
          <w:rFonts w:eastAsia="Times New Roman" w:cs="Times New Roman"/>
          <w:szCs w:val="24"/>
          <w:lang w:eastAsia="lt-LT"/>
        </w:rPr>
        <w:t xml:space="preserve"> </w:t>
      </w:r>
      <w:r w:rsidR="0009587A">
        <w:rPr>
          <w:rFonts w:eastAsia="Times New Roman" w:cs="Times New Roman"/>
          <w:szCs w:val="24"/>
          <w:lang w:eastAsia="lt-LT"/>
        </w:rPr>
        <w:t xml:space="preserve">TARYBOS SPRENDIMAS </w:t>
      </w:r>
      <w:r w:rsidR="00606DDE" w:rsidRPr="00B921D7">
        <w:rPr>
          <w:rFonts w:eastAsia="Times New Roman" w:cs="Times New Roman"/>
          <w:b/>
          <w:szCs w:val="24"/>
        </w:rPr>
        <w:t>DĖL PINIGINĖS SOCIALINĖS PARAMOS NEPASITURINTIEMS GYVENTOJAMS TEIKIMO TVARKOS APRAŠO PATVIRTINIMO</w:t>
      </w:r>
      <w:r w:rsidR="0009587A" w:rsidRPr="00707F30">
        <w:rPr>
          <w:rFonts w:eastAsia="Times New Roman" w:cs="Times New Roman"/>
          <w:b/>
          <w:szCs w:val="24"/>
          <w:lang w:eastAsia="lt-LT"/>
        </w:rPr>
        <w:t>.</w:t>
      </w:r>
    </w:p>
    <w:p w14:paraId="62B660E3" w14:textId="77777777" w:rsidR="00AE03A3" w:rsidRDefault="00011556" w:rsidP="0069605C">
      <w:pPr>
        <w:ind w:right="-115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606DDE" w:rsidRPr="00B921D7">
        <w:rPr>
          <w:rFonts w:eastAsia="Times New Roman" w:cs="Times New Roman"/>
          <w:szCs w:val="24"/>
        </w:rPr>
        <w:t xml:space="preserve">Socialinės paramos ir sveikatos skyriaus vedėjo pavaduotoja Zita Čaplikienė         </w:t>
      </w:r>
      <w:r w:rsidR="0009587A">
        <w:rPr>
          <w:szCs w:val="24"/>
        </w:rPr>
        <w:t>.</w:t>
      </w:r>
    </w:p>
    <w:p w14:paraId="62B660E4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62B660E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2B660E6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62B660E7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2B660E8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416"/>
        <w:gridCol w:w="2751"/>
        <w:gridCol w:w="2182"/>
        <w:gridCol w:w="1809"/>
      </w:tblGrid>
      <w:tr w:rsidR="00011556" w:rsidRPr="00011556" w14:paraId="62B660EE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62B660E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2B660E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62B660EB" w14:textId="77777777" w:rsidR="00011556" w:rsidRPr="00606DDE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 w:rsidRPr="00606DDE">
              <w:rPr>
                <w:bCs/>
                <w:sz w:val="22"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62B660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62B660ED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62B660F4" w14:textId="77777777" w:rsidTr="00C224F1">
        <w:trPr>
          <w:trHeight w:val="23"/>
        </w:trPr>
        <w:tc>
          <w:tcPr>
            <w:tcW w:w="588" w:type="dxa"/>
          </w:tcPr>
          <w:p w14:paraId="62B660E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62B660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62B660F1" w14:textId="77777777" w:rsidR="00011556" w:rsidRPr="00606DDE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62B660F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62B660F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011556" w:rsidRPr="00011556" w14:paraId="62B660FD" w14:textId="77777777" w:rsidTr="00C224F1">
        <w:trPr>
          <w:trHeight w:val="23"/>
        </w:trPr>
        <w:tc>
          <w:tcPr>
            <w:tcW w:w="588" w:type="dxa"/>
          </w:tcPr>
          <w:p w14:paraId="62B660F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62B660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62B660F7" w14:textId="77777777" w:rsidR="00011556" w:rsidRPr="00606DDE" w:rsidRDefault="00606DDE" w:rsidP="0009587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lt-LT"/>
              </w:rPr>
            </w:pPr>
            <w:r w:rsidRPr="00606DDE">
              <w:rPr>
                <w:sz w:val="22"/>
              </w:rPr>
              <w:t>Teisės akte nustatytos vienodos sąlygos visiems prašymus teikiantiems subjektams</w:t>
            </w:r>
          </w:p>
        </w:tc>
        <w:tc>
          <w:tcPr>
            <w:tcW w:w="2182" w:type="dxa"/>
          </w:tcPr>
          <w:p w14:paraId="62B660F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2B660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62B660F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0F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0F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04" w14:textId="77777777" w:rsidTr="00C224F1">
        <w:trPr>
          <w:trHeight w:val="23"/>
        </w:trPr>
        <w:tc>
          <w:tcPr>
            <w:tcW w:w="588" w:type="dxa"/>
          </w:tcPr>
          <w:p w14:paraId="62B660FE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62B660FF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62B66100" w14:textId="77777777" w:rsidR="00011556" w:rsidRPr="00606DDE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2B6610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0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03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0B" w14:textId="77777777" w:rsidTr="00C224F1">
        <w:trPr>
          <w:trHeight w:val="23"/>
        </w:trPr>
        <w:tc>
          <w:tcPr>
            <w:tcW w:w="588" w:type="dxa"/>
          </w:tcPr>
          <w:p w14:paraId="62B6610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62B661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nustatyta, kad sprendimą dėl teisių suteikimo, apribojimų nustatymo, sankcijų taikymo ir panašiai priimantis subjektas atskirtas nuo šių sprendimų teisėtumą ir įgyvendinimą kontroliuojančio (prižiūrinčio) subjekto</w:t>
            </w:r>
          </w:p>
        </w:tc>
        <w:tc>
          <w:tcPr>
            <w:tcW w:w="2751" w:type="dxa"/>
          </w:tcPr>
          <w:p w14:paraId="62B66107" w14:textId="77777777" w:rsidR="00011556" w:rsidRPr="00606DDE" w:rsidRDefault="00606DDE" w:rsidP="00584C4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 xml:space="preserve">Aprašo 13 p. nustatyta, kad sprendimus dėl paramos skyrimo priima Socialinės paramos ir sveikatos skyriaus specialistai, </w:t>
            </w:r>
            <w:r w:rsidRPr="00606DDE">
              <w:rPr>
                <w:rFonts w:eastAsia="Times New Roman"/>
                <w:color w:val="000000"/>
                <w:sz w:val="22"/>
                <w:lang w:eastAsia="lt-LT"/>
              </w:rPr>
              <w:t xml:space="preserve">Centralizuotas vidaus audito skyrius ir savivaldybės kontrolierius kontroliuoja, kaip šilumos energiją ir vandenį tiekiančios įmonės skaičiuoja kompensacijas, Socialinės paramos ir </w:t>
            </w:r>
            <w:r w:rsidRPr="00606DDE">
              <w:rPr>
                <w:rFonts w:eastAsia="Times New Roman"/>
                <w:color w:val="000000"/>
                <w:sz w:val="22"/>
                <w:lang w:eastAsia="lt-LT"/>
              </w:rPr>
              <w:lastRenderedPageBreak/>
              <w:t>sveikatos skyrius – piniginę socialinę paramą, ar teisingai taikomos Įstatymo ir kitų teisės aktų nuostatos.</w:t>
            </w:r>
          </w:p>
        </w:tc>
        <w:tc>
          <w:tcPr>
            <w:tcW w:w="2182" w:type="dxa"/>
          </w:tcPr>
          <w:p w14:paraId="62B66108" w14:textId="77777777" w:rsidR="00011556" w:rsidRPr="002F79DE" w:rsidRDefault="00011556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2B6610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0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12" w14:textId="77777777" w:rsidTr="00C224F1">
        <w:trPr>
          <w:trHeight w:val="23"/>
        </w:trPr>
        <w:tc>
          <w:tcPr>
            <w:tcW w:w="588" w:type="dxa"/>
          </w:tcPr>
          <w:p w14:paraId="62B6610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4.</w:t>
            </w:r>
          </w:p>
        </w:tc>
        <w:tc>
          <w:tcPr>
            <w:tcW w:w="2416" w:type="dxa"/>
          </w:tcPr>
          <w:p w14:paraId="62B6610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62B6610E" w14:textId="77777777" w:rsidR="00011556" w:rsidRPr="00606DDE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62B661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1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1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19" w14:textId="77777777" w:rsidTr="00C224F1">
        <w:trPr>
          <w:trHeight w:val="23"/>
        </w:trPr>
        <w:tc>
          <w:tcPr>
            <w:tcW w:w="588" w:type="dxa"/>
          </w:tcPr>
          <w:p w14:paraId="62B6611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62B6611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2B66115" w14:textId="77777777" w:rsidR="00011556" w:rsidRPr="00606DDE" w:rsidRDefault="002E39C0" w:rsidP="004A34A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Nustatytas</w:t>
            </w:r>
          </w:p>
        </w:tc>
        <w:tc>
          <w:tcPr>
            <w:tcW w:w="2182" w:type="dxa"/>
          </w:tcPr>
          <w:p w14:paraId="62B6611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1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1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20" w14:textId="77777777" w:rsidTr="00C224F1">
        <w:trPr>
          <w:trHeight w:val="23"/>
        </w:trPr>
        <w:tc>
          <w:tcPr>
            <w:tcW w:w="588" w:type="dxa"/>
          </w:tcPr>
          <w:p w14:paraId="62B6611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62B6611B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62B6611C" w14:textId="77777777" w:rsidR="00011556" w:rsidRPr="00606DDE" w:rsidRDefault="00606DDE" w:rsidP="00A866F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Išimtys nustatytos Aprašo IV skyriuje</w:t>
            </w:r>
            <w:r w:rsidR="00714149" w:rsidRPr="00606DDE">
              <w:rPr>
                <w:sz w:val="22"/>
              </w:rPr>
              <w:t xml:space="preserve">. </w:t>
            </w:r>
          </w:p>
        </w:tc>
        <w:tc>
          <w:tcPr>
            <w:tcW w:w="2182" w:type="dxa"/>
          </w:tcPr>
          <w:p w14:paraId="62B6611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1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27" w14:textId="77777777" w:rsidTr="00C224F1">
        <w:trPr>
          <w:trHeight w:val="492"/>
        </w:trPr>
        <w:tc>
          <w:tcPr>
            <w:tcW w:w="588" w:type="dxa"/>
          </w:tcPr>
          <w:p w14:paraId="62B6612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62B66122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62B66123" w14:textId="77777777" w:rsidR="00011556" w:rsidRPr="00606DDE" w:rsidRDefault="004A34A0" w:rsidP="002E39C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62B6612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2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2E" w14:textId="77777777" w:rsidTr="00C224F1">
        <w:trPr>
          <w:trHeight w:val="23"/>
        </w:trPr>
        <w:tc>
          <w:tcPr>
            <w:tcW w:w="588" w:type="dxa"/>
          </w:tcPr>
          <w:p w14:paraId="62B66128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62B66129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62B6612A" w14:textId="77777777" w:rsidR="00011556" w:rsidRPr="00606DDE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62B6612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3B" w14:textId="77777777" w:rsidTr="00C224F1">
        <w:trPr>
          <w:trHeight w:val="23"/>
        </w:trPr>
        <w:tc>
          <w:tcPr>
            <w:tcW w:w="588" w:type="dxa"/>
          </w:tcPr>
          <w:p w14:paraId="62B6612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62B661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62B66131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62B66132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kolegialaus sprendimus priimančio subjekto veiklos objektyvumą ir skaidrumą;</w:t>
            </w:r>
          </w:p>
          <w:p w14:paraId="62B6613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62B6613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2B6613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62B6613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62B66137" w14:textId="77777777" w:rsidR="00011556" w:rsidRPr="00606DDE" w:rsidRDefault="00606DDE" w:rsidP="00892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lastRenderedPageBreak/>
              <w:t>Aprašo projekte nėra numatytas kolegialus sprendimą priimantis subjektas.</w:t>
            </w:r>
          </w:p>
        </w:tc>
        <w:tc>
          <w:tcPr>
            <w:tcW w:w="2182" w:type="dxa"/>
          </w:tcPr>
          <w:p w14:paraId="62B6613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3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42" w14:textId="77777777" w:rsidTr="00C224F1">
        <w:trPr>
          <w:trHeight w:val="23"/>
        </w:trPr>
        <w:tc>
          <w:tcPr>
            <w:tcW w:w="588" w:type="dxa"/>
          </w:tcPr>
          <w:p w14:paraId="62B6613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10.</w:t>
            </w:r>
          </w:p>
        </w:tc>
        <w:tc>
          <w:tcPr>
            <w:tcW w:w="2416" w:type="dxa"/>
          </w:tcPr>
          <w:p w14:paraId="62B6613D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62B6613E" w14:textId="77777777" w:rsidR="00011556" w:rsidRPr="00606DDE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62B6613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4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49" w14:textId="77777777" w:rsidTr="00C224F1">
        <w:trPr>
          <w:trHeight w:val="23"/>
        </w:trPr>
        <w:tc>
          <w:tcPr>
            <w:tcW w:w="588" w:type="dxa"/>
          </w:tcPr>
          <w:p w14:paraId="62B66143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62B66144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62B66145" w14:textId="77777777" w:rsidR="00011556" w:rsidRPr="00606D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2B6614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4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48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50" w14:textId="77777777" w:rsidTr="00C224F1">
        <w:trPr>
          <w:trHeight w:val="23"/>
        </w:trPr>
        <w:tc>
          <w:tcPr>
            <w:tcW w:w="588" w:type="dxa"/>
          </w:tcPr>
          <w:p w14:paraId="62B6614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62B6614B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62B6614C" w14:textId="77777777" w:rsidR="00011556" w:rsidRPr="00606DDE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62B6614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4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4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57" w14:textId="77777777" w:rsidTr="00C224F1">
        <w:trPr>
          <w:trHeight w:val="23"/>
        </w:trPr>
        <w:tc>
          <w:tcPr>
            <w:tcW w:w="588" w:type="dxa"/>
          </w:tcPr>
          <w:p w14:paraId="62B66151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62B6615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62B66153" w14:textId="77777777" w:rsidR="00011556" w:rsidRPr="00606DDE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62B6615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5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5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62B6615E" w14:textId="77777777" w:rsidTr="00C224F1">
        <w:trPr>
          <w:trHeight w:val="23"/>
        </w:trPr>
        <w:tc>
          <w:tcPr>
            <w:tcW w:w="588" w:type="dxa"/>
          </w:tcPr>
          <w:p w14:paraId="62B66158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62B6615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62B6615A" w14:textId="77777777" w:rsidR="00C224F1" w:rsidRPr="00606DDE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62B6615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5C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5D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65" w14:textId="77777777" w:rsidTr="00C224F1">
        <w:trPr>
          <w:trHeight w:val="23"/>
        </w:trPr>
        <w:tc>
          <w:tcPr>
            <w:tcW w:w="588" w:type="dxa"/>
          </w:tcPr>
          <w:p w14:paraId="62B6615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62B66160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62B66161" w14:textId="77777777" w:rsidR="00011556" w:rsidRPr="00606DDE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sz w:val="22"/>
              </w:rPr>
              <w:t xml:space="preserve">Kontrolės (priežiūros) skaidrumo ir objektyvumo užtikrinimo priemonės nenustatytos. Kontrolę vykdantys subjektai, atlikdami  kontrolės </w:t>
            </w:r>
            <w:r w:rsidRPr="00606DDE">
              <w:rPr>
                <w:sz w:val="22"/>
              </w:rPr>
              <w:lastRenderedPageBreak/>
              <w:t>funkcijas, vadovaujasi jų veiklą reglamentuojančiais teisės aktais</w:t>
            </w:r>
          </w:p>
        </w:tc>
        <w:tc>
          <w:tcPr>
            <w:tcW w:w="2182" w:type="dxa"/>
          </w:tcPr>
          <w:p w14:paraId="62B6616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6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6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6C" w14:textId="77777777" w:rsidTr="00C224F1">
        <w:trPr>
          <w:trHeight w:val="23"/>
        </w:trPr>
        <w:tc>
          <w:tcPr>
            <w:tcW w:w="588" w:type="dxa"/>
          </w:tcPr>
          <w:p w14:paraId="62B6616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16.</w:t>
            </w:r>
          </w:p>
        </w:tc>
        <w:tc>
          <w:tcPr>
            <w:tcW w:w="2416" w:type="dxa"/>
          </w:tcPr>
          <w:p w14:paraId="62B66167" w14:textId="77777777" w:rsidR="00C224F1" w:rsidRPr="00011556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62B66168" w14:textId="77777777" w:rsidR="00011556" w:rsidRPr="00606DDE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</w:p>
        </w:tc>
        <w:tc>
          <w:tcPr>
            <w:tcW w:w="2182" w:type="dxa"/>
          </w:tcPr>
          <w:p w14:paraId="62B6616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6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6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73" w14:textId="77777777" w:rsidTr="00C224F1">
        <w:trPr>
          <w:trHeight w:val="23"/>
        </w:trPr>
        <w:tc>
          <w:tcPr>
            <w:tcW w:w="588" w:type="dxa"/>
          </w:tcPr>
          <w:p w14:paraId="62B6616D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62B6616E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2B6616F" w14:textId="77777777" w:rsidR="00011556" w:rsidRPr="00606DDE" w:rsidRDefault="0099391C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62B6617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71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72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7A" w14:textId="77777777" w:rsidTr="00C224F1">
        <w:trPr>
          <w:trHeight w:val="23"/>
        </w:trPr>
        <w:tc>
          <w:tcPr>
            <w:tcW w:w="588" w:type="dxa"/>
          </w:tcPr>
          <w:p w14:paraId="62B66174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62B66175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62B66176" w14:textId="77777777" w:rsidR="00011556" w:rsidRPr="00606D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62B6617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2B66181" w14:textId="77777777" w:rsidTr="00C224F1">
        <w:trPr>
          <w:trHeight w:val="23"/>
        </w:trPr>
        <w:tc>
          <w:tcPr>
            <w:tcW w:w="588" w:type="dxa"/>
          </w:tcPr>
          <w:p w14:paraId="62B6617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62B6617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62B6617D" w14:textId="77777777" w:rsidR="00011556" w:rsidRPr="00606DDE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606DDE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62B6617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2B6617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2B6618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62B66182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17"/>
        <w:gridCol w:w="3899"/>
        <w:gridCol w:w="1663"/>
        <w:gridCol w:w="2567"/>
      </w:tblGrid>
      <w:tr w:rsidR="00011556" w:rsidRPr="00011556" w14:paraId="62B6618B" w14:textId="77777777" w:rsidTr="00D0108A">
        <w:trPr>
          <w:trHeight w:val="23"/>
        </w:trPr>
        <w:tc>
          <w:tcPr>
            <w:tcW w:w="2457" w:type="dxa"/>
          </w:tcPr>
          <w:p w14:paraId="62B661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2B6618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2B66185" w14:textId="77777777" w:rsidR="00011556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2B66186" w14:textId="77777777" w:rsidR="00B54B87" w:rsidRPr="00606DDE" w:rsidRDefault="00606DDE" w:rsidP="00584C4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B921D7">
              <w:rPr>
                <w:rFonts w:eastAsia="Times New Roman" w:cs="Times New Roman"/>
                <w:szCs w:val="24"/>
              </w:rPr>
              <w:t>Socialinės paramos ir sveikatos skyriaus vedėjo pavaduotoja Zita Čaplikienė</w:t>
            </w:r>
          </w:p>
        </w:tc>
        <w:tc>
          <w:tcPr>
            <w:tcW w:w="2434" w:type="dxa"/>
          </w:tcPr>
          <w:p w14:paraId="62B661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2B6618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2B6618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2B6618A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2B66190" w14:textId="77777777" w:rsidTr="00D0108A">
        <w:trPr>
          <w:trHeight w:val="23"/>
        </w:trPr>
        <w:tc>
          <w:tcPr>
            <w:tcW w:w="2457" w:type="dxa"/>
          </w:tcPr>
          <w:p w14:paraId="62B6618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62B6618D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62B6618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2B6618F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62B66198" w14:textId="77777777" w:rsidTr="00D0108A">
        <w:trPr>
          <w:trHeight w:val="23"/>
        </w:trPr>
        <w:tc>
          <w:tcPr>
            <w:tcW w:w="2457" w:type="dxa"/>
          </w:tcPr>
          <w:p w14:paraId="62B6619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2B6619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62B66193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62B66194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2B6619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62B66196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62B66197" w14:textId="77777777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</w:t>
            </w:r>
            <w:r w:rsidR="00B54B87">
              <w:rPr>
                <w:rFonts w:eastAsia="Times New Roman" w:cs="Times New Roman"/>
                <w:sz w:val="22"/>
                <w:lang w:eastAsia="lt-LT"/>
              </w:rPr>
              <w:t>2022-0</w:t>
            </w:r>
            <w:r w:rsidR="00606DDE">
              <w:rPr>
                <w:rFonts w:eastAsia="Times New Roman" w:cs="Times New Roman"/>
                <w:sz w:val="22"/>
                <w:lang w:eastAsia="lt-LT"/>
              </w:rPr>
              <w:t>9-21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62B6619D" w14:textId="77777777" w:rsidTr="00D0108A">
        <w:trPr>
          <w:trHeight w:val="23"/>
        </w:trPr>
        <w:tc>
          <w:tcPr>
            <w:tcW w:w="2457" w:type="dxa"/>
          </w:tcPr>
          <w:p w14:paraId="62B6619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62B6619A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2B6619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62B6619C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62B6619E" w14:textId="77777777" w:rsidR="00AC37BC" w:rsidRDefault="00AC37BC" w:rsidP="0084234F">
      <w:pPr>
        <w:jc w:val="center"/>
      </w:pPr>
    </w:p>
    <w:sectPr w:rsidR="00AC37BC" w:rsidSect="008615B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93B0E" w14:textId="77777777" w:rsidR="008E4829" w:rsidRDefault="008E4829" w:rsidP="00011556">
      <w:pPr>
        <w:spacing w:after="0" w:line="240" w:lineRule="auto"/>
      </w:pPr>
      <w:r>
        <w:separator/>
      </w:r>
    </w:p>
  </w:endnote>
  <w:endnote w:type="continuationSeparator" w:id="0">
    <w:p w14:paraId="07440E01" w14:textId="77777777" w:rsidR="008E4829" w:rsidRDefault="008E4829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22116" w14:textId="77777777" w:rsidR="008E4829" w:rsidRDefault="008E4829" w:rsidP="00011556">
      <w:pPr>
        <w:spacing w:after="0" w:line="240" w:lineRule="auto"/>
      </w:pPr>
      <w:r>
        <w:separator/>
      </w:r>
    </w:p>
  </w:footnote>
  <w:footnote w:type="continuationSeparator" w:id="0">
    <w:p w14:paraId="77D2CE66" w14:textId="77777777" w:rsidR="008E4829" w:rsidRDefault="008E4829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11556"/>
    <w:rsid w:val="0001730B"/>
    <w:rsid w:val="000418F6"/>
    <w:rsid w:val="0009587A"/>
    <w:rsid w:val="00186256"/>
    <w:rsid w:val="00197535"/>
    <w:rsid w:val="001C1E81"/>
    <w:rsid w:val="001C4716"/>
    <w:rsid w:val="001C5323"/>
    <w:rsid w:val="0020277F"/>
    <w:rsid w:val="002714FD"/>
    <w:rsid w:val="002932A0"/>
    <w:rsid w:val="002E39C0"/>
    <w:rsid w:val="002F4397"/>
    <w:rsid w:val="002F793F"/>
    <w:rsid w:val="002F79DE"/>
    <w:rsid w:val="00363211"/>
    <w:rsid w:val="0038177D"/>
    <w:rsid w:val="00394843"/>
    <w:rsid w:val="003B6913"/>
    <w:rsid w:val="003C6AA1"/>
    <w:rsid w:val="003D574F"/>
    <w:rsid w:val="00450999"/>
    <w:rsid w:val="00481571"/>
    <w:rsid w:val="00487FAB"/>
    <w:rsid w:val="004A34A0"/>
    <w:rsid w:val="00560152"/>
    <w:rsid w:val="005679C9"/>
    <w:rsid w:val="00584C4D"/>
    <w:rsid w:val="00606DDE"/>
    <w:rsid w:val="0061657D"/>
    <w:rsid w:val="006927A3"/>
    <w:rsid w:val="0069605C"/>
    <w:rsid w:val="006A34B2"/>
    <w:rsid w:val="006C2EA8"/>
    <w:rsid w:val="006D79E2"/>
    <w:rsid w:val="006E3F92"/>
    <w:rsid w:val="00707F30"/>
    <w:rsid w:val="00714149"/>
    <w:rsid w:val="0076243D"/>
    <w:rsid w:val="00777FAE"/>
    <w:rsid w:val="008103F7"/>
    <w:rsid w:val="0084234F"/>
    <w:rsid w:val="008615BA"/>
    <w:rsid w:val="008830CE"/>
    <w:rsid w:val="00892ECD"/>
    <w:rsid w:val="00897691"/>
    <w:rsid w:val="008C4141"/>
    <w:rsid w:val="008E4829"/>
    <w:rsid w:val="00977F7D"/>
    <w:rsid w:val="0099391C"/>
    <w:rsid w:val="009A2C77"/>
    <w:rsid w:val="009E4910"/>
    <w:rsid w:val="00A652BD"/>
    <w:rsid w:val="00A866FD"/>
    <w:rsid w:val="00AA37CC"/>
    <w:rsid w:val="00AC37BC"/>
    <w:rsid w:val="00AE03A3"/>
    <w:rsid w:val="00AE1C51"/>
    <w:rsid w:val="00B05163"/>
    <w:rsid w:val="00B10B52"/>
    <w:rsid w:val="00B221AC"/>
    <w:rsid w:val="00B54B87"/>
    <w:rsid w:val="00B923A4"/>
    <w:rsid w:val="00BD0324"/>
    <w:rsid w:val="00BF4852"/>
    <w:rsid w:val="00BF567B"/>
    <w:rsid w:val="00C224F1"/>
    <w:rsid w:val="00C43F54"/>
    <w:rsid w:val="00C52EE5"/>
    <w:rsid w:val="00CD46E3"/>
    <w:rsid w:val="00CF576B"/>
    <w:rsid w:val="00D07258"/>
    <w:rsid w:val="00D43BF1"/>
    <w:rsid w:val="00D52440"/>
    <w:rsid w:val="00D716D6"/>
    <w:rsid w:val="00D91038"/>
    <w:rsid w:val="00D9125A"/>
    <w:rsid w:val="00E27549"/>
    <w:rsid w:val="00E317C7"/>
    <w:rsid w:val="00E35CCA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3968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2022-09-22T13:30:00Z</dcterms:created>
  <dcterms:modified xsi:type="dcterms:W3CDTF">2022-09-22T13:50:00Z</dcterms:modified>
</cp:coreProperties>
</file>